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3392EC3F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E3346D">
        <w:rPr>
          <w:rFonts w:ascii="Marianne" w:hAnsi="Marianne"/>
          <w:b/>
          <w:smallCaps/>
          <w:color w:val="C00000"/>
          <w:sz w:val="32"/>
          <w:szCs w:val="32"/>
        </w:rPr>
        <w:t>6</w:t>
      </w:r>
    </w:p>
    <w:p w14:paraId="589AAFBD" w14:textId="4D04337C" w:rsidR="00FC4661" w:rsidRPr="00F53FCB" w:rsidRDefault="00E3346D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>
        <w:rPr>
          <w:rFonts w:ascii="Marianne" w:hAnsi="Marianne"/>
          <w:b/>
          <w:smallCaps/>
          <w:color w:val="C00000"/>
          <w:sz w:val="32"/>
          <w:szCs w:val="32"/>
        </w:rPr>
        <w:t>T</w:t>
      </w:r>
      <w:r w:rsidR="00E424E1">
        <w:rPr>
          <w:rFonts w:ascii="Marianne" w:hAnsi="Marianne"/>
          <w:b/>
          <w:smallCaps/>
          <w:color w:val="C00000"/>
          <w:sz w:val="32"/>
          <w:szCs w:val="32"/>
        </w:rPr>
        <w:t>ubes de détection de gaz</w:t>
      </w:r>
      <w:r w:rsidR="001A1440">
        <w:rPr>
          <w:rFonts w:ascii="Marianne" w:hAnsi="Marianne"/>
          <w:b/>
          <w:smallCaps/>
          <w:color w:val="C00000"/>
          <w:sz w:val="32"/>
          <w:szCs w:val="32"/>
        </w:rPr>
        <w:t xml:space="preserve"> et pompe</w:t>
      </w:r>
      <w:r w:rsidR="007F6187">
        <w:rPr>
          <w:rFonts w:ascii="Marianne" w:hAnsi="Marianne"/>
          <w:b/>
          <w:smallCaps/>
          <w:color w:val="C00000"/>
          <w:sz w:val="32"/>
          <w:szCs w:val="32"/>
        </w:rPr>
        <w:t>s</w:t>
      </w:r>
      <w:r w:rsidR="004F4E67">
        <w:rPr>
          <w:rFonts w:ascii="Marianne" w:hAnsi="Marianne"/>
          <w:b/>
          <w:smallCaps/>
          <w:color w:val="C00000"/>
          <w:sz w:val="32"/>
          <w:szCs w:val="32"/>
        </w:rPr>
        <w:t xml:space="preserve"> manuelle</w:t>
      </w:r>
      <w:r w:rsidR="007F6187">
        <w:rPr>
          <w:rFonts w:ascii="Marianne" w:hAnsi="Marianne"/>
          <w:b/>
          <w:smallCaps/>
          <w:color w:val="C00000"/>
          <w:sz w:val="32"/>
          <w:szCs w:val="32"/>
        </w:rPr>
        <w:t>s</w:t>
      </w:r>
      <w:r w:rsidR="00E424E1">
        <w:rPr>
          <w:rFonts w:ascii="Marianne" w:hAnsi="Marianne"/>
          <w:b/>
          <w:smallCaps/>
          <w:color w:val="C00000"/>
          <w:sz w:val="32"/>
          <w:szCs w:val="32"/>
        </w:rPr>
        <w:br/>
      </w:r>
      <w:r w:rsidR="00E424E1" w:rsidRPr="00E424E1">
        <w:rPr>
          <w:rFonts w:ascii="Marianne" w:hAnsi="Marianne"/>
          <w:b/>
          <w:smallCaps/>
          <w:color w:val="C00000"/>
          <w:sz w:val="28"/>
          <w:szCs w:val="28"/>
        </w:rPr>
        <w:t xml:space="preserve">(dioxyde d’azote, </w:t>
      </w:r>
      <w:r w:rsidR="00A23EDD">
        <w:rPr>
          <w:rFonts w:ascii="Marianne" w:hAnsi="Marianne"/>
          <w:b/>
          <w:smallCaps/>
          <w:color w:val="C00000"/>
          <w:sz w:val="28"/>
          <w:szCs w:val="28"/>
        </w:rPr>
        <w:t>arsine</w:t>
      </w:r>
      <w:r w:rsidR="00E424E1" w:rsidRPr="00E424E1">
        <w:rPr>
          <w:rFonts w:ascii="Marianne" w:hAnsi="Marianne"/>
          <w:b/>
          <w:smallCaps/>
          <w:color w:val="C00000"/>
          <w:sz w:val="28"/>
          <w:szCs w:val="28"/>
        </w:rPr>
        <w:t xml:space="preserve">, </w:t>
      </w:r>
      <w:r w:rsidR="007335B7">
        <w:rPr>
          <w:rFonts w:ascii="Marianne" w:hAnsi="Marianne"/>
          <w:b/>
          <w:smallCaps/>
          <w:color w:val="C00000"/>
          <w:sz w:val="28"/>
          <w:szCs w:val="28"/>
        </w:rPr>
        <w:t>éther phosphorique</w:t>
      </w:r>
      <w:r w:rsidR="00E424E1" w:rsidRPr="00E424E1">
        <w:rPr>
          <w:rFonts w:ascii="Marianne" w:hAnsi="Marianne"/>
          <w:b/>
          <w:smallCaps/>
          <w:color w:val="C00000"/>
          <w:sz w:val="28"/>
          <w:szCs w:val="28"/>
        </w:rPr>
        <w:t>)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761A6D6A" w14:textId="265FB624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E424E1">
        <w:rPr>
          <w:rFonts w:ascii="Marianne" w:hAnsi="Marianne"/>
          <w:color w:val="000000"/>
          <w:spacing w:val="-3"/>
          <w:sz w:val="22"/>
          <w:szCs w:val="22"/>
        </w:rPr>
        <w:t>tubes de détection de gaz</w:t>
      </w:r>
      <w:r w:rsidR="004F4E67">
        <w:rPr>
          <w:rFonts w:ascii="Marianne" w:hAnsi="Marianne"/>
          <w:color w:val="000000"/>
          <w:spacing w:val="-3"/>
          <w:sz w:val="22"/>
          <w:szCs w:val="22"/>
        </w:rPr>
        <w:t xml:space="preserve"> et les pompes</w:t>
      </w:r>
      <w:r w:rsidR="00EF61F8" w:rsidRPr="00EF61F8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>
        <w:rPr>
          <w:rFonts w:ascii="Marianne" w:hAnsi="Marianne"/>
          <w:color w:val="000000"/>
          <w:spacing w:val="-3"/>
          <w:sz w:val="22"/>
          <w:szCs w:val="22"/>
        </w:rPr>
        <w:t>proposés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 en vigueur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3CA00C97" w14:textId="6F50BD68" w:rsidR="00C52B4F" w:rsidRDefault="00C52B4F" w:rsidP="00C52B4F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</w:t>
      </w:r>
      <w:r w:rsidR="00E424E1"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4B098DDE" w14:textId="77777777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Lors de la livraison, le soumissionnaire fournira 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et un livret technique détaillant l’utilisation, l’entretien et les conditions de stockage.</w:t>
      </w:r>
    </w:p>
    <w:p w14:paraId="035FF28E" w14:textId="54E518AD" w:rsidR="00601A6A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 w:rsidR="00FD1530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6E385433" w14:textId="3E5646B8" w:rsidR="00E424E1" w:rsidRPr="00E424E1" w:rsidRDefault="00E424E1" w:rsidP="00E424E1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La détection par tubes réactifs est conçue pour offrir une solution rapide et efficace de détection et de quantification de produit chimique.</w:t>
      </w:r>
    </w:p>
    <w:p w14:paraId="0203206B" w14:textId="77777777" w:rsidR="00E424E1" w:rsidRPr="00E424E1" w:rsidRDefault="00E424E1" w:rsidP="00E424E1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 xml:space="preserve">Ces équipements doivent être fabriqués à partir un réactif chimique qui réagit à un produit chimique spécifique ou à une famille de produits chimiques. </w:t>
      </w:r>
    </w:p>
    <w:p w14:paraId="795EACD5" w14:textId="77777777" w:rsidR="00E424E1" w:rsidRPr="00E424E1" w:rsidRDefault="00E424E1" w:rsidP="00E424E1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La fourniture devra respecter les caractéristiques techniques minimales suivantes :</w:t>
      </w:r>
    </w:p>
    <w:p w14:paraId="40196FC0" w14:textId="77777777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Tube transparent permettant une lecture directe.</w:t>
      </w:r>
    </w:p>
    <w:p w14:paraId="2AE0E2B5" w14:textId="73B407FC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L’unité devra être en ppm et être inscrit</w:t>
      </w:r>
      <w:r>
        <w:rPr>
          <w:rFonts w:ascii="Marianne" w:hAnsi="Marianne"/>
          <w:color w:val="000000"/>
          <w:spacing w:val="-3"/>
          <w:sz w:val="22"/>
          <w:szCs w:val="22"/>
        </w:rPr>
        <w:t>e</w:t>
      </w:r>
      <w:r w:rsidRPr="00E424E1">
        <w:rPr>
          <w:rFonts w:ascii="Marianne" w:hAnsi="Marianne"/>
          <w:color w:val="000000"/>
          <w:spacing w:val="-3"/>
          <w:sz w:val="22"/>
          <w:szCs w:val="22"/>
        </w:rPr>
        <w:t xml:space="preserve"> sur le tube.</w:t>
      </w:r>
    </w:p>
    <w:p w14:paraId="1065F7F3" w14:textId="7C3CB9AB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Le nombre de coup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E424E1">
        <w:rPr>
          <w:rFonts w:ascii="Marianne" w:hAnsi="Marianne"/>
          <w:color w:val="000000"/>
          <w:spacing w:val="-3"/>
          <w:sz w:val="22"/>
          <w:szCs w:val="22"/>
        </w:rPr>
        <w:t xml:space="preserve"> de pompe et le sens d’insertion devront être inscrit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E424E1">
        <w:rPr>
          <w:rFonts w:ascii="Marianne" w:hAnsi="Marianne"/>
          <w:color w:val="000000"/>
          <w:spacing w:val="-3"/>
          <w:sz w:val="22"/>
          <w:szCs w:val="22"/>
        </w:rPr>
        <w:t xml:space="preserve"> sur le tube.</w:t>
      </w:r>
    </w:p>
    <w:p w14:paraId="32E5CF9D" w14:textId="41436CAE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Une pompe manuelle devra est fournie</w:t>
      </w:r>
      <w:r w:rsidR="00944D0A">
        <w:rPr>
          <w:rFonts w:ascii="Marianne" w:hAnsi="Marianne"/>
          <w:color w:val="000000"/>
          <w:spacing w:val="-3"/>
          <w:sz w:val="22"/>
          <w:szCs w:val="22"/>
        </w:rPr>
        <w:t xml:space="preserve"> pour chacun des 14 kits.</w:t>
      </w:r>
    </w:p>
    <w:p w14:paraId="355A8590" w14:textId="77777777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La pompe d’utilisation des tubes devra posséder un compteur.</w:t>
      </w:r>
    </w:p>
    <w:p w14:paraId="6CC2C2BF" w14:textId="1B09C424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Être utilisable d’une seule main.</w:t>
      </w:r>
    </w:p>
    <w:p w14:paraId="06B606A3" w14:textId="77777777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Utilisable en zone inflammable.</w:t>
      </w:r>
    </w:p>
    <w:p w14:paraId="10294866" w14:textId="77777777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lastRenderedPageBreak/>
        <w:t>Posséder un système sécurisé pour casser les extrémités des tubes.</w:t>
      </w:r>
    </w:p>
    <w:p w14:paraId="01504409" w14:textId="77777777" w:rsidR="00E424E1" w:rsidRPr="00E424E1" w:rsidRDefault="00E424E1" w:rsidP="00E424E1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424E1">
        <w:rPr>
          <w:rFonts w:ascii="Marianne" w:hAnsi="Marianne"/>
          <w:color w:val="000000"/>
          <w:spacing w:val="-3"/>
          <w:sz w:val="22"/>
          <w:szCs w:val="22"/>
        </w:rPr>
        <w:t>Les tubes détecteront :</w:t>
      </w:r>
    </w:p>
    <w:p w14:paraId="18E32EEF" w14:textId="740CFDD6" w:rsidR="00317BC5" w:rsidRPr="00D84FBB" w:rsidRDefault="00E424E1" w:rsidP="00D84FBB">
      <w:pPr>
        <w:numPr>
          <w:ilvl w:val="1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D84FBB">
        <w:rPr>
          <w:rFonts w:ascii="Marianne" w:hAnsi="Marianne"/>
          <w:b/>
          <w:bCs/>
          <w:color w:val="000000"/>
          <w:spacing w:val="-3"/>
          <w:sz w:val="22"/>
          <w:szCs w:val="22"/>
        </w:rPr>
        <w:t>Le dioxyde d’azote</w:t>
      </w:r>
      <w:r w:rsidR="00D84FBB">
        <w:rPr>
          <w:rFonts w:ascii="Marianne" w:hAnsi="Marianne"/>
          <w:color w:val="000000"/>
          <w:spacing w:val="-3"/>
          <w:sz w:val="22"/>
          <w:szCs w:val="22"/>
        </w:rPr>
        <w:t xml:space="preserve"> : </w:t>
      </w:r>
      <w:r w:rsidR="00E3346D" w:rsidRPr="00D84FBB">
        <w:rPr>
          <w:rFonts w:ascii="Marianne" w:hAnsi="Marianne"/>
          <w:color w:val="000000"/>
          <w:spacing w:val="-3"/>
          <w:sz w:val="22"/>
          <w:szCs w:val="22"/>
        </w:rPr>
        <w:t xml:space="preserve">Echelle de mesure : de </w:t>
      </w:r>
      <w:r w:rsidR="00317BC5" w:rsidRPr="00D84FBB">
        <w:rPr>
          <w:rFonts w:ascii="Marianne" w:hAnsi="Marianne"/>
          <w:color w:val="000000"/>
          <w:spacing w:val="-3"/>
          <w:sz w:val="22"/>
          <w:szCs w:val="22"/>
        </w:rPr>
        <w:t xml:space="preserve">0.1 </w:t>
      </w:r>
      <w:r w:rsidR="00E3346D" w:rsidRPr="00D84FBB">
        <w:rPr>
          <w:rFonts w:ascii="Marianne" w:hAnsi="Marianne"/>
          <w:color w:val="000000"/>
          <w:spacing w:val="-3"/>
          <w:sz w:val="22"/>
          <w:szCs w:val="22"/>
        </w:rPr>
        <w:t>à</w:t>
      </w:r>
      <w:r w:rsidR="00317BC5" w:rsidRPr="00D84FBB">
        <w:rPr>
          <w:rFonts w:ascii="Marianne" w:hAnsi="Marianne"/>
          <w:color w:val="000000"/>
          <w:spacing w:val="-3"/>
          <w:sz w:val="22"/>
          <w:szCs w:val="22"/>
        </w:rPr>
        <w:t xml:space="preserve"> 30 ppm</w:t>
      </w:r>
    </w:p>
    <w:p w14:paraId="60A52FC9" w14:textId="03C690F2" w:rsidR="00D84FBB" w:rsidRDefault="00A23EDD" w:rsidP="00321EF2">
      <w:pPr>
        <w:numPr>
          <w:ilvl w:val="1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b/>
          <w:bCs/>
          <w:color w:val="000000"/>
          <w:spacing w:val="-3"/>
          <w:sz w:val="22"/>
          <w:szCs w:val="22"/>
        </w:rPr>
        <w:t>L’arsine</w:t>
      </w:r>
      <w:r w:rsidR="00D84FBB">
        <w:rPr>
          <w:rFonts w:ascii="Marianne" w:hAnsi="Marianne"/>
          <w:color w:val="000000"/>
          <w:spacing w:val="-3"/>
          <w:sz w:val="22"/>
          <w:szCs w:val="22"/>
        </w:rPr>
        <w:t xml:space="preserve"> : </w:t>
      </w:r>
      <w:r w:rsidR="00D84FBB" w:rsidRPr="00D84FBB">
        <w:rPr>
          <w:rFonts w:ascii="Marianne" w:hAnsi="Marianne"/>
          <w:color w:val="000000"/>
          <w:spacing w:val="-3"/>
          <w:sz w:val="22"/>
          <w:szCs w:val="22"/>
        </w:rPr>
        <w:t>Détection à partir de 0,</w:t>
      </w:r>
      <w:r w:rsidR="00F50010">
        <w:rPr>
          <w:rFonts w:ascii="Marianne" w:hAnsi="Marianne"/>
          <w:color w:val="000000"/>
          <w:spacing w:val="-3"/>
          <w:sz w:val="22"/>
          <w:szCs w:val="22"/>
        </w:rPr>
        <w:t>1</w:t>
      </w:r>
      <w:r w:rsidR="00D84FBB" w:rsidRPr="00D84FBB">
        <w:rPr>
          <w:rFonts w:ascii="Marianne" w:hAnsi="Marianne"/>
          <w:color w:val="000000"/>
          <w:spacing w:val="-3"/>
          <w:sz w:val="22"/>
          <w:szCs w:val="22"/>
        </w:rPr>
        <w:t xml:space="preserve"> </w:t>
      </w:r>
      <w:r>
        <w:rPr>
          <w:rFonts w:ascii="Marianne" w:hAnsi="Marianne"/>
          <w:color w:val="000000"/>
          <w:spacing w:val="-3"/>
          <w:sz w:val="22"/>
          <w:szCs w:val="22"/>
        </w:rPr>
        <w:t>ppm</w:t>
      </w:r>
    </w:p>
    <w:p w14:paraId="3ECF97EA" w14:textId="03DD4FBD" w:rsidR="007335B7" w:rsidRPr="00D84FBB" w:rsidRDefault="007335B7" w:rsidP="00321EF2">
      <w:pPr>
        <w:numPr>
          <w:ilvl w:val="1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>
        <w:rPr>
          <w:rFonts w:ascii="Marianne" w:hAnsi="Marianne"/>
          <w:b/>
          <w:bCs/>
          <w:color w:val="000000"/>
          <w:spacing w:val="-3"/>
          <w:sz w:val="22"/>
          <w:szCs w:val="22"/>
        </w:rPr>
        <w:t>L’éther phosphorique </w:t>
      </w:r>
      <w:r>
        <w:rPr>
          <w:rFonts w:ascii="Marianne" w:hAnsi="Marianne"/>
          <w:color w:val="000000"/>
          <w:spacing w:val="-3"/>
          <w:sz w:val="22"/>
          <w:szCs w:val="22"/>
        </w:rPr>
        <w:t>: Détection à partir de 0,05 ppm</w:t>
      </w:r>
    </w:p>
    <w:p w14:paraId="246D7622" w14:textId="76ABCC16" w:rsidR="00FC4661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spacing w:val="-3"/>
          <w:sz w:val="22"/>
          <w:szCs w:val="22"/>
          <w:u w:val="single"/>
        </w:rPr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6ED4A975" w14:textId="77777777" w:rsidR="00B513D7" w:rsidRPr="008A5A72" w:rsidRDefault="00B513D7" w:rsidP="00B513D7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08949446" w14:textId="2D1E7048" w:rsidR="00E424E1" w:rsidRPr="00D84FBB" w:rsidRDefault="00D84FB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D84FBB">
        <w:rPr>
          <w:rFonts w:ascii="Marianne" w:hAnsi="Marianne"/>
          <w:spacing w:val="-3"/>
          <w:sz w:val="22"/>
          <w:szCs w:val="22"/>
        </w:rPr>
        <w:t xml:space="preserve">Le kit proposé sera composé de 10 </w:t>
      </w:r>
      <w:r w:rsidR="00E424E1" w:rsidRPr="00D84FBB">
        <w:rPr>
          <w:rFonts w:ascii="Marianne" w:hAnsi="Marianne"/>
          <w:spacing w:val="-3"/>
          <w:sz w:val="22"/>
          <w:szCs w:val="22"/>
        </w:rPr>
        <w:t xml:space="preserve">tubes de détection </w:t>
      </w:r>
      <w:r w:rsidRPr="00D84FBB">
        <w:rPr>
          <w:rFonts w:ascii="Marianne" w:hAnsi="Marianne"/>
          <w:spacing w:val="-3"/>
          <w:sz w:val="22"/>
          <w:szCs w:val="22"/>
        </w:rPr>
        <w:t>pour chacun des gaz et d’une pompe</w:t>
      </w:r>
      <w:r w:rsidR="004F4E67">
        <w:rPr>
          <w:rFonts w:ascii="Marianne" w:hAnsi="Marianne"/>
          <w:spacing w:val="-3"/>
          <w:sz w:val="22"/>
          <w:szCs w:val="22"/>
        </w:rPr>
        <w:t xml:space="preserve"> manuelle</w:t>
      </w:r>
      <w:r w:rsidRPr="00D84FBB">
        <w:rPr>
          <w:rFonts w:ascii="Marianne" w:hAnsi="Marianne"/>
          <w:spacing w:val="-3"/>
          <w:sz w:val="22"/>
          <w:szCs w:val="22"/>
        </w:rPr>
        <w:t>.</w:t>
      </w:r>
    </w:p>
    <w:p w14:paraId="3D15884E" w14:textId="57AAEDCA" w:rsidR="00D52F1B" w:rsidRPr="00E424E1" w:rsidRDefault="00D84FBB" w:rsidP="00E424E1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14 kits</w:t>
      </w:r>
      <w:r w:rsidR="00D52F1B" w:rsidRPr="00E424E1">
        <w:rPr>
          <w:rFonts w:ascii="Marianne" w:hAnsi="Marianne"/>
          <w:spacing w:val="-3"/>
          <w:sz w:val="22"/>
          <w:szCs w:val="22"/>
        </w:rPr>
        <w:t xml:space="preserve"> </w:t>
      </w:r>
      <w:r>
        <w:rPr>
          <w:rFonts w:ascii="Marianne" w:hAnsi="Marianne"/>
          <w:spacing w:val="-3"/>
          <w:sz w:val="22"/>
          <w:szCs w:val="22"/>
        </w:rPr>
        <w:t>complets (tubes et pompe</w:t>
      </w:r>
      <w:r w:rsidR="004F4E67">
        <w:rPr>
          <w:rFonts w:ascii="Marianne" w:hAnsi="Marianne"/>
          <w:spacing w:val="-3"/>
          <w:sz w:val="22"/>
          <w:szCs w:val="22"/>
        </w:rPr>
        <w:t xml:space="preserve"> manuelle</w:t>
      </w:r>
      <w:r>
        <w:rPr>
          <w:rFonts w:ascii="Marianne" w:hAnsi="Marianne"/>
          <w:spacing w:val="-3"/>
          <w:sz w:val="22"/>
          <w:szCs w:val="22"/>
        </w:rPr>
        <w:t xml:space="preserve">) </w:t>
      </w:r>
      <w:r w:rsidR="00D52F1B" w:rsidRPr="00E424E1">
        <w:rPr>
          <w:rFonts w:ascii="Marianne" w:hAnsi="Marianne"/>
          <w:spacing w:val="-3"/>
          <w:sz w:val="22"/>
          <w:szCs w:val="22"/>
        </w:rPr>
        <w:t>seront fournis dans le cadre de ce marché.</w:t>
      </w:r>
    </w:p>
    <w:p w14:paraId="7E1AFA1D" w14:textId="77777777" w:rsidR="00D52F1B" w:rsidRPr="00682F7A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des documents technique </w:t>
      </w:r>
      <w:r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Pr="00682F7A">
        <w:rPr>
          <w:rFonts w:ascii="Marianne" w:hAnsi="Marianne"/>
          <w:spacing w:val="-3"/>
          <w:sz w:val="22"/>
          <w:szCs w:val="22"/>
        </w:rPr>
        <w:t>).</w:t>
      </w:r>
    </w:p>
    <w:p w14:paraId="6BFA2C4F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 l’attestation de conformité.</w:t>
      </w:r>
    </w:p>
    <w:p w14:paraId="7782C39D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hauteur).</w:t>
      </w:r>
    </w:p>
    <w:p w14:paraId="6E97540B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 nécessaires pour préparer l’export.</w:t>
      </w:r>
    </w:p>
    <w:p w14:paraId="3E802D7F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 afin que nous puissions anticiper l’obtention éventuelle de licence appropriées.</w:t>
      </w:r>
    </w:p>
    <w:p w14:paraId="565E3295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La livraison jusqu’à l’entrepôt indiqué dans le règlement de consultation et l’annexe financière. </w:t>
      </w:r>
      <w:bookmarkStart w:id="0" w:name="_Hlk207809307"/>
      <w:r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2EF331C5" w14:textId="5DDDAD1C" w:rsidR="0070619D" w:rsidRPr="001307B2" w:rsidRDefault="00DF3D40" w:rsidP="001307B2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sectPr w:rsidR="0070619D" w:rsidRPr="001307B2" w:rsidSect="00682F7A">
      <w:headerReference w:type="default" r:id="rId7"/>
      <w:footerReference w:type="default" r:id="rId8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20903" w14:textId="77777777" w:rsidR="000807AA" w:rsidRDefault="000807AA">
      <w:r>
        <w:separator/>
      </w:r>
    </w:p>
  </w:endnote>
  <w:endnote w:type="continuationSeparator" w:id="0">
    <w:p w14:paraId="3E1AB115" w14:textId="77777777" w:rsidR="000807AA" w:rsidRDefault="0008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04CF9" w14:textId="5985D08F" w:rsidR="00E3346D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 xml:space="preserve">afety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E3346D">
      <w:rPr>
        <w:rFonts w:ascii="Marianne" w:hAnsi="Marianne"/>
        <w:sz w:val="20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D7BF9" w14:textId="77777777" w:rsidR="000807AA" w:rsidRDefault="000807AA">
      <w:r>
        <w:separator/>
      </w:r>
    </w:p>
  </w:footnote>
  <w:footnote w:type="continuationSeparator" w:id="0">
    <w:p w14:paraId="043A6995" w14:textId="77777777" w:rsidR="000807AA" w:rsidRDefault="00080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7335B7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07AA"/>
    <w:rsid w:val="000849AA"/>
    <w:rsid w:val="00093622"/>
    <w:rsid w:val="000D6E44"/>
    <w:rsid w:val="001307B2"/>
    <w:rsid w:val="00146A82"/>
    <w:rsid w:val="0015441C"/>
    <w:rsid w:val="0018542C"/>
    <w:rsid w:val="001A1440"/>
    <w:rsid w:val="001A4A97"/>
    <w:rsid w:val="001A79F9"/>
    <w:rsid w:val="001B5D01"/>
    <w:rsid w:val="001F343D"/>
    <w:rsid w:val="00203A94"/>
    <w:rsid w:val="0020632B"/>
    <w:rsid w:val="00207865"/>
    <w:rsid w:val="0023766A"/>
    <w:rsid w:val="002417E4"/>
    <w:rsid w:val="00287358"/>
    <w:rsid w:val="00293699"/>
    <w:rsid w:val="002A4494"/>
    <w:rsid w:val="002A7718"/>
    <w:rsid w:val="002D037A"/>
    <w:rsid w:val="002E7D8B"/>
    <w:rsid w:val="002F5E59"/>
    <w:rsid w:val="002F716C"/>
    <w:rsid w:val="00305CD8"/>
    <w:rsid w:val="00314912"/>
    <w:rsid w:val="00317B05"/>
    <w:rsid w:val="00317BC5"/>
    <w:rsid w:val="003203AD"/>
    <w:rsid w:val="00321EF2"/>
    <w:rsid w:val="00356A94"/>
    <w:rsid w:val="00362681"/>
    <w:rsid w:val="00383FE6"/>
    <w:rsid w:val="00393BF9"/>
    <w:rsid w:val="00396913"/>
    <w:rsid w:val="003B1114"/>
    <w:rsid w:val="003D4CA5"/>
    <w:rsid w:val="003F755B"/>
    <w:rsid w:val="004125B8"/>
    <w:rsid w:val="00420691"/>
    <w:rsid w:val="00457FEF"/>
    <w:rsid w:val="0046045C"/>
    <w:rsid w:val="00471D90"/>
    <w:rsid w:val="004754C2"/>
    <w:rsid w:val="004A142A"/>
    <w:rsid w:val="004F3868"/>
    <w:rsid w:val="004F4E67"/>
    <w:rsid w:val="0050303D"/>
    <w:rsid w:val="00580553"/>
    <w:rsid w:val="00583D17"/>
    <w:rsid w:val="005A510E"/>
    <w:rsid w:val="005C5751"/>
    <w:rsid w:val="005F3260"/>
    <w:rsid w:val="005F5B74"/>
    <w:rsid w:val="00601A6A"/>
    <w:rsid w:val="006366DE"/>
    <w:rsid w:val="00682F7A"/>
    <w:rsid w:val="00685A51"/>
    <w:rsid w:val="00687DB7"/>
    <w:rsid w:val="006A325C"/>
    <w:rsid w:val="006C7D69"/>
    <w:rsid w:val="006E11EE"/>
    <w:rsid w:val="006F0EEB"/>
    <w:rsid w:val="0070619D"/>
    <w:rsid w:val="00712F3C"/>
    <w:rsid w:val="007335B7"/>
    <w:rsid w:val="0078185C"/>
    <w:rsid w:val="007A7C37"/>
    <w:rsid w:val="007C1B6C"/>
    <w:rsid w:val="007C2CD8"/>
    <w:rsid w:val="007D1199"/>
    <w:rsid w:val="007F6187"/>
    <w:rsid w:val="007F66E4"/>
    <w:rsid w:val="008038A2"/>
    <w:rsid w:val="00807125"/>
    <w:rsid w:val="0082132A"/>
    <w:rsid w:val="00837B2F"/>
    <w:rsid w:val="0085020D"/>
    <w:rsid w:val="008A5A72"/>
    <w:rsid w:val="008B424C"/>
    <w:rsid w:val="008D64F3"/>
    <w:rsid w:val="009019E4"/>
    <w:rsid w:val="009076CB"/>
    <w:rsid w:val="00936403"/>
    <w:rsid w:val="00944D0A"/>
    <w:rsid w:val="00957DD8"/>
    <w:rsid w:val="00960788"/>
    <w:rsid w:val="009A566C"/>
    <w:rsid w:val="009A6A20"/>
    <w:rsid w:val="009C4784"/>
    <w:rsid w:val="009C7B39"/>
    <w:rsid w:val="009D38E8"/>
    <w:rsid w:val="00A23EDD"/>
    <w:rsid w:val="00A6625E"/>
    <w:rsid w:val="00A8259D"/>
    <w:rsid w:val="00A93EEA"/>
    <w:rsid w:val="00AB1DF4"/>
    <w:rsid w:val="00AE30E6"/>
    <w:rsid w:val="00AF690A"/>
    <w:rsid w:val="00B138C6"/>
    <w:rsid w:val="00B329B5"/>
    <w:rsid w:val="00B5087A"/>
    <w:rsid w:val="00B513D7"/>
    <w:rsid w:val="00B61E7B"/>
    <w:rsid w:val="00B808C6"/>
    <w:rsid w:val="00BB30CD"/>
    <w:rsid w:val="00BE6157"/>
    <w:rsid w:val="00BF1656"/>
    <w:rsid w:val="00BF1CE4"/>
    <w:rsid w:val="00C04A90"/>
    <w:rsid w:val="00C315FB"/>
    <w:rsid w:val="00C47685"/>
    <w:rsid w:val="00C52B4F"/>
    <w:rsid w:val="00C54C28"/>
    <w:rsid w:val="00C831FD"/>
    <w:rsid w:val="00CA5862"/>
    <w:rsid w:val="00CA5BBD"/>
    <w:rsid w:val="00CB3D37"/>
    <w:rsid w:val="00CF4D85"/>
    <w:rsid w:val="00D0606E"/>
    <w:rsid w:val="00D32090"/>
    <w:rsid w:val="00D32C0F"/>
    <w:rsid w:val="00D443E0"/>
    <w:rsid w:val="00D52F1B"/>
    <w:rsid w:val="00D62B8C"/>
    <w:rsid w:val="00D66802"/>
    <w:rsid w:val="00D67844"/>
    <w:rsid w:val="00D84FBB"/>
    <w:rsid w:val="00DB7A72"/>
    <w:rsid w:val="00DC0B37"/>
    <w:rsid w:val="00DD42ED"/>
    <w:rsid w:val="00DE37DA"/>
    <w:rsid w:val="00DF3D40"/>
    <w:rsid w:val="00E007DA"/>
    <w:rsid w:val="00E3346D"/>
    <w:rsid w:val="00E353C4"/>
    <w:rsid w:val="00E424E1"/>
    <w:rsid w:val="00E43512"/>
    <w:rsid w:val="00E531AC"/>
    <w:rsid w:val="00E546FB"/>
    <w:rsid w:val="00E66E73"/>
    <w:rsid w:val="00E870EA"/>
    <w:rsid w:val="00EB4E30"/>
    <w:rsid w:val="00EF61F8"/>
    <w:rsid w:val="00F1403E"/>
    <w:rsid w:val="00F17297"/>
    <w:rsid w:val="00F213D4"/>
    <w:rsid w:val="00F2708D"/>
    <w:rsid w:val="00F30534"/>
    <w:rsid w:val="00F31BFC"/>
    <w:rsid w:val="00F36B74"/>
    <w:rsid w:val="00F50010"/>
    <w:rsid w:val="00F53FCB"/>
    <w:rsid w:val="00F93807"/>
    <w:rsid w:val="00FA78FC"/>
    <w:rsid w:val="00FC466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2692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3</cp:revision>
  <cp:lastPrinted>2012-01-19T08:41:00Z</cp:lastPrinted>
  <dcterms:created xsi:type="dcterms:W3CDTF">2025-09-22T12:39:00Z</dcterms:created>
  <dcterms:modified xsi:type="dcterms:W3CDTF">2025-09-22T12:40:00Z</dcterms:modified>
</cp:coreProperties>
</file>